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
    <w:p/>
    <w:p/>
    <w:p/>
    <w:p/>
    <w:p/>
    <w:p/>
    <w:p/>
    <w:p>
      <w:r>
        <w:rPr>
          <w:b/>
          <w:bCs/>
          <w:color w:val="17705F"/>
          <w:sz w:val="40"/>
          <w:szCs w:val="40"/>
        </w:rPr>
        <w:t xml:space="preserve">SOG-P Specificatie beschrijving</w:t>
      </w:r>
    </w:p>
    <w:p>
      <w:pPr>
        <w:spacing w:before="100"/>
      </w:pPr>
      <w:r>
        <w:rPr>
          <w:b/>
          <w:bCs/>
          <w:color w:val="222222"/>
          <w:sz w:val="30"/>
          <w:szCs w:val="30"/>
        </w:rPr>
        <w:t xml:space="preserve">Werken met Twin Ferrule Fittingen</w:t>
      </w:r>
    </w:p>
    <w:p/>
    <w:p/>
    <w:p/>
    <w:p/>
    <w:p/>
    <w:p/>
    <w:p/>
    <w:p/>
    <w:p/>
    <w:p/>
    <w:p/>
    <w:p/>
    <w:p/>
    <w:p/>
    <w:p/>
    <w:p/>
    <w:p>
      <w:pPr>
        <w:jc w:val="right"/>
      </w:pPr>
      <w:r>
        <w:rPr>
          <w:sz w:val="21"/>
          <w:szCs w:val="21"/>
        </w:rPr>
        <w:t xml:space="preserve">Finale versie: 1.0</w:t>
      </w:r>
    </w:p>
    <w:p>
      <w:pPr>
        <w:jc w:val="right"/>
      </w:pPr>
      <w:r>
        <w:rPr>
          <w:sz w:val="21"/>
          <w:szCs w:val="21"/>
        </w:rPr>
        <w:t xml:space="preserve">Versiedatum: 01-10-2026</w:t>
      </w:r>
    </w:p>
    <w:p>
      <w:r>
        <w:br w:type="page"/>
      </w:r>
    </w:p>
    <w:p>
      <w:pPr>
        <w:pStyle w:val="Heading1"/>
        <w:spacing w:after="200" w:before="300"/>
      </w:pPr>
      <w:r>
        <w:rPr>
          <w:b/>
          <w:bCs/>
          <w:color w:val="17705F"/>
          <w:sz w:val="30"/>
          <w:szCs w:val="30"/>
        </w:rPr>
        <w:t xml:space="preserve">Deel 1  Doelgroep</w:t>
      </w:r>
    </w:p>
    <w:p>
      <w:pPr>
        <w:pStyle w:val="Heading2"/>
        <w:spacing w:after="120" w:before="240"/>
      </w:pPr>
      <w:r>
        <w:rPr>
          <w:b/>
          <w:bCs/>
          <w:color w:val="17705F"/>
          <w:sz w:val="24"/>
          <w:szCs w:val="24"/>
        </w:rPr>
        <w:t xml:space="preserve">1.1 Doelgroep van de opleiding</w:t>
      </w:r>
    </w:p>
    <w:p>
      <w:pPr>
        <w:spacing w:after="160"/>
      </w:pPr>
      <w:r>
        <w:rPr>
          <w:sz w:val="21"/>
          <w:szCs w:val="21"/>
        </w:rPr>
        <w:t xml:space="preserve">De SOG-P opleiding Werken met Twin Ferrule fittingen is bedoeld voor medewerkers die in de (petro)chemische industrie werkzaamheden uitvoeren aan leiding- en instrumentatiesystemen waarbij Twin Ferrule fittingen worden gemonteerd, gedemonteerd, geïnspecteerd of onderhouden op bedrijfs- of fabrieksterreinen, zoals in installaties, werkplaatsen en procesomgevingen.</w:t>
      </w:r>
    </w:p>
    <w:p>
      <w:pPr>
        <w:spacing w:after="160"/>
      </w:pPr>
      <w:r>
        <w:rPr>
          <w:sz w:val="21"/>
          <w:szCs w:val="21"/>
        </w:rPr>
        <w:t xml:space="preserve">De opleiding vormt een startkwalificatie en biedt de basis voor een veilige en verantwoorde uitvoering van werkzaamheden met Twin Ferrule fittingen. Leerdoel: op veilige en juiste wijze Twin Ferrule fittingen (her)monteren en andere types en merken herkennen om te voorkomen dat onderdelen door elkaar worden gebruikt.</w:t>
      </w:r>
    </w:p>
    <w:p>
      <w:pPr>
        <w:pStyle w:val="Heading2"/>
        <w:spacing w:after="120" w:before="240"/>
      </w:pPr>
      <w:r>
        <w:rPr>
          <w:b/>
          <w:bCs/>
          <w:color w:val="17705F"/>
          <w:sz w:val="24"/>
          <w:szCs w:val="24"/>
        </w:rPr>
        <w:t xml:space="preserve">1.2 Voorwaarden voor deelname</w:t>
      </w:r>
    </w:p>
    <w:p>
      <w:pPr>
        <w:spacing w:after="160"/>
      </w:pPr>
      <w:r>
        <w:rPr>
          <w:sz w:val="21"/>
          <w:szCs w:val="21"/>
        </w:rPr>
        <w:t xml:space="preserve">Voorwaarden voor deelname:</w:t>
      </w:r>
    </w:p>
    <w:p>
      <w:pPr>
        <w:pStyle w:val="ListParagraph"/>
        <w:numPr>
          <w:ilvl w:val="0"/>
          <w:numId w:val="1"/>
        </w:numPr>
        <w:spacing w:after="80"/>
      </w:pPr>
      <w:r>
        <w:rPr>
          <w:sz w:val="21"/>
          <w:szCs w:val="21"/>
        </w:rPr>
        <w:t xml:space="preserve">De deelnemer is minimaal 18 jaar oud;</w:t>
      </w:r>
    </w:p>
    <w:p>
      <w:pPr>
        <w:pStyle w:val="ListParagraph"/>
        <w:numPr>
          <w:ilvl w:val="0"/>
          <w:numId w:val="1"/>
        </w:numPr>
        <w:spacing w:after="80"/>
      </w:pPr>
      <w:r>
        <w:rPr>
          <w:sz w:val="21"/>
          <w:szCs w:val="21"/>
        </w:rPr>
        <w:t xml:space="preserve">De deelnemer is bekend met werkzaamheden in de (petro)chemische industrie;</w:t>
      </w:r>
    </w:p>
    <w:p>
      <w:pPr>
        <w:pStyle w:val="ListParagraph"/>
        <w:numPr>
          <w:ilvl w:val="0"/>
          <w:numId w:val="1"/>
        </w:numPr>
        <w:spacing w:after="80"/>
      </w:pPr>
      <w:r>
        <w:rPr>
          <w:sz w:val="21"/>
          <w:szCs w:val="21"/>
        </w:rPr>
        <w:t xml:space="preserve">De deelnemer beschikt over een geldig B-VCA-diploma of een gelijkwaardig vastgesteld diploma of certificaat (zie het overzicht vrijstellingen en gelijkstellingen SOG-examens);</w:t>
      </w:r>
    </w:p>
    <w:p>
      <w:pPr>
        <w:pStyle w:val="ListParagraph"/>
        <w:numPr>
          <w:ilvl w:val="0"/>
          <w:numId w:val="1"/>
        </w:numPr>
        <w:spacing w:after="80"/>
      </w:pPr>
      <w:r>
        <w:rPr>
          <w:sz w:val="21"/>
          <w:szCs w:val="21"/>
        </w:rPr>
        <w:t xml:space="preserve">De deelnemer beheerst de taal waarin de opleiding en examinering plaatsvinden;</w:t>
      </w:r>
    </w:p>
    <w:p>
      <w:pPr>
        <w:pStyle w:val="ListParagraph"/>
        <w:numPr>
          <w:ilvl w:val="0"/>
          <w:numId w:val="1"/>
        </w:numPr>
        <w:spacing w:after="80"/>
      </w:pPr>
      <w:r>
        <w:rPr>
          <w:sz w:val="21"/>
          <w:szCs w:val="21"/>
        </w:rPr>
        <w:t xml:space="preserve">De deelnemer heeft aantoonbare ervaring met het buigen van tubing; zonder deze ervaring volgt de deelnemer een basisopleiding van 4 dagdelen.</w:t>
      </w:r>
    </w:p>
    <w:p>
      <w:r>
        <w:br w:type="page"/>
      </w:r>
    </w:p>
    <w:p>
      <w:pPr>
        <w:pStyle w:val="Heading1"/>
        <w:spacing w:after="200" w:before="300"/>
      </w:pPr>
      <w:r>
        <w:rPr>
          <w:b/>
          <w:bCs/>
          <w:color w:val="17705F"/>
          <w:sz w:val="30"/>
          <w:szCs w:val="30"/>
        </w:rPr>
        <w:t xml:space="preserve">Deel 2  Opleiding</w:t>
      </w:r>
    </w:p>
    <w:p>
      <w:pPr>
        <w:pStyle w:val="Heading2"/>
        <w:spacing w:after="120" w:before="240"/>
      </w:pPr>
      <w:r>
        <w:rPr>
          <w:b/>
          <w:bCs/>
          <w:color w:val="17705F"/>
          <w:sz w:val="24"/>
          <w:szCs w:val="24"/>
        </w:rPr>
        <w:t xml:space="preserve">2.1 Opleidingsduur</w:t>
      </w:r>
    </w:p>
    <w:p>
      <w:pPr>
        <w:spacing w:after="160"/>
      </w:pPr>
      <w:r>
        <w:rPr>
          <w:sz w:val="21"/>
          <w:szCs w:val="21"/>
        </w:rPr>
        <w:t xml:space="preserve">Basisopleiding met aantoonbare ervaring in het buigen van tubing: minimaal 3 dagdelen, maximaal 16 deelnemers per groep.</w:t>
      </w:r>
    </w:p>
    <w:p>
      <w:pPr>
        <w:spacing w:after="160"/>
      </w:pPr>
      <w:r>
        <w:rPr>
          <w:sz w:val="21"/>
          <w:szCs w:val="21"/>
        </w:rPr>
        <w:t xml:space="preserve">Basisopleiding zonder ervaring met het buigen van tubing: minimaal 4 dagdelen; het extra dagdeel wordt besteed aan het oefenen met het buigen van tubing.</w:t>
      </w:r>
    </w:p>
    <w:p>
      <w:pPr>
        <w:spacing w:after="160"/>
      </w:pPr>
      <w:r>
        <w:rPr>
          <w:sz w:val="21"/>
          <w:szCs w:val="21"/>
        </w:rPr>
        <w:t xml:space="preserve">Herhalingsopleiding: minimaal 1,5 dagdeel. Deze kan worden gevolgd wanneer het diploma nog geldig is of maximaal 3 maanden verlopen is; is het diploma langer verlopen, dan moet opnieuw de basisopleiding worden gevolgd. De duur is exclusief examinering.</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Onderdeel</w:t>
            </w:r>
          </w:p>
        </w:tc>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Basis (met ervaring)</w:t>
            </w:r>
          </w:p>
        </w:tc>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Basis (zonder ervaring)</w:t>
            </w:r>
          </w:p>
        </w:tc>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Herhaling</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Theorie + praktijk</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3 dagdelen</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4 dagdelen</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1,5 dagdeel</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Cursusduur (TCC)</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r>
    </w:tbl>
    <w:p/>
    <w:p>
      <w:pPr>
        <w:spacing w:after="160"/>
      </w:pPr>
      <w:r>
        <w:rPr>
          <w:i/>
          <w:iCs/>
          <w:color w:val="555555"/>
          <w:sz w:val="19"/>
          <w:szCs w:val="19"/>
        </w:rPr>
        <w:t xml:space="preserve">Maximaal 16 deelnemers per groep (basisopleiding met ervaring). Maximaal 8 kandidaten per examinator bij het praktijkexamen.</w:t>
      </w:r>
    </w:p>
    <w:p>
      <w:pPr>
        <w:pStyle w:val="Heading2"/>
        <w:spacing w:after="120" w:before="240"/>
      </w:pPr>
      <w:r>
        <w:rPr>
          <w:b/>
          <w:bCs/>
          <w:color w:val="17705F"/>
          <w:sz w:val="24"/>
          <w:szCs w:val="24"/>
        </w:rPr>
        <w:t xml:space="preserve">2.2 Inhoud</w:t>
      </w:r>
    </w:p>
    <w:p>
      <w:pPr>
        <w:spacing w:after="160"/>
      </w:pPr>
      <w:r>
        <w:rPr>
          <w:b/>
          <w:bCs/>
          <w:sz w:val="21"/>
          <w:szCs w:val="21"/>
        </w:rPr>
        <w:t xml:space="preserve">Theorie</w:t>
      </w:r>
    </w:p>
    <w:p>
      <w:pPr>
        <w:pStyle w:val="ListParagraph"/>
        <w:numPr>
          <w:ilvl w:val="0"/>
          <w:numId w:val="1"/>
        </w:numPr>
        <w:spacing w:after="80"/>
      </w:pPr>
      <w:r>
        <w:rPr>
          <w:sz w:val="21"/>
          <w:szCs w:val="21"/>
        </w:rPr>
        <w:t xml:space="preserve">Algemeen: betekenis van de codering op tubing (ASTM-norm, O.D., materiaalsoort, wanddikte, heat code), druk- en temperatuurklassen, inches en metrische maatvoering (stepped shoulder)</w:t>
      </w:r>
    </w:p>
    <w:p>
      <w:pPr>
        <w:pStyle w:val="ListParagraph"/>
        <w:numPr>
          <w:ilvl w:val="0"/>
          <w:numId w:val="1"/>
        </w:numPr>
        <w:spacing w:after="80"/>
      </w:pPr>
      <w:r>
        <w:rPr>
          <w:sz w:val="21"/>
          <w:szCs w:val="21"/>
        </w:rPr>
        <w:t xml:space="preserve">Wetgeving (Arbowet): verantwoordelijkheden van de fittingmonteur en de opdrachtgever</w:t>
      </w:r>
    </w:p>
    <w:p>
      <w:pPr>
        <w:pStyle w:val="ListParagraph"/>
        <w:numPr>
          <w:ilvl w:val="0"/>
          <w:numId w:val="1"/>
        </w:numPr>
        <w:spacing w:after="80"/>
      </w:pPr>
      <w:r>
        <w:rPr>
          <w:sz w:val="21"/>
          <w:szCs w:val="21"/>
        </w:rPr>
        <w:t xml:space="preserve">Veiligheid: algemene veiligheidsregels (werkvergunning, pbm's, LMRA); veiligheidsregels vóór het drukvrij maken en losmaken van fittingen; gevolgen van losschieten en lekken</w:t>
      </w:r>
    </w:p>
    <w:p>
      <w:pPr>
        <w:pStyle w:val="ListParagraph"/>
        <w:numPr>
          <w:ilvl w:val="0"/>
          <w:numId w:val="1"/>
        </w:numPr>
        <w:spacing w:after="80"/>
      </w:pPr>
      <w:r>
        <w:rPr>
          <w:sz w:val="21"/>
          <w:szCs w:val="21"/>
        </w:rPr>
        <w:t xml:space="preserve">Vaktechniek – twin ferrule fittingen: waar de afdichting plaatsvindt, het niet mengen van merken en onderdelen (intermixing), voordelen, materiaalkeuze van tubing en fitting, gebruik, onderhoud, hergebruik en opslag, relatie tussen druk, temperatuur en wanddikte, onderdelen (body, front- en back ferrule, nut), verband tussen buishardheid en fitting</w:t>
      </w:r>
    </w:p>
    <w:p>
      <w:pPr>
        <w:pStyle w:val="ListParagraph"/>
        <w:numPr>
          <w:ilvl w:val="0"/>
          <w:numId w:val="1"/>
        </w:numPr>
        <w:spacing w:after="80"/>
      </w:pPr>
      <w:r>
        <w:rPr>
          <w:sz w:val="21"/>
          <w:szCs w:val="21"/>
        </w:rPr>
        <w:t xml:space="preserve">Monteren van fittingen: het belang van een drukvrij systeem, de oorzaak van de fluittoon, de juiste onderdelen selecteren en in de juiste volgorde plaatsen, voordelen van een voormontageblok, volgorde van handelingen bij (her)montage, beoordelen of montage van fitting en tubing juist is</w:t>
      </w:r>
    </w:p>
    <w:p>
      <w:pPr>
        <w:pStyle w:val="ListParagraph"/>
        <w:numPr>
          <w:ilvl w:val="0"/>
          <w:numId w:val="1"/>
        </w:numPr>
        <w:spacing w:after="80"/>
      </w:pPr>
      <w:r>
        <w:rPr>
          <w:sz w:val="21"/>
          <w:szCs w:val="21"/>
        </w:rPr>
        <w:t xml:space="preserve">Afdichting: voorwaarden voor een juiste afdichting (buiskwaliteit, fittingkwaliteit, montagevoorschrift, afwerking, 'gebottomd', spanningsvrije montage) en aandachtspunten bij de schroefdraadzijde (NPT/BSP)</w:t>
      </w:r>
    </w:p>
    <w:p/>
    <w:p>
      <w:pPr>
        <w:spacing w:after="160"/>
      </w:pPr>
      <w:r>
        <w:rPr>
          <w:b/>
          <w:bCs/>
          <w:sz w:val="21"/>
          <w:szCs w:val="21"/>
        </w:rPr>
        <w:t xml:space="preserve">Praktijk</w:t>
      </w:r>
    </w:p>
    <w:p>
      <w:pPr>
        <w:pStyle w:val="ListParagraph"/>
        <w:numPr>
          <w:ilvl w:val="0"/>
          <w:numId w:val="1"/>
        </w:numPr>
        <w:spacing w:after="80"/>
      </w:pPr>
      <w:r>
        <w:rPr>
          <w:sz w:val="21"/>
          <w:szCs w:val="21"/>
        </w:rPr>
        <w:t xml:space="preserve">Algemeen: voor gegeven opdrachten de LMRA op de werklocatie uitvoeren en de voorgeschreven pbm's gebruiken</w:t>
      </w:r>
    </w:p>
    <w:p>
      <w:pPr>
        <w:pStyle w:val="ListParagraph"/>
        <w:numPr>
          <w:ilvl w:val="0"/>
          <w:numId w:val="1"/>
        </w:numPr>
        <w:spacing w:after="80"/>
      </w:pPr>
      <w:r>
        <w:rPr>
          <w:sz w:val="21"/>
          <w:szCs w:val="21"/>
        </w:rPr>
        <w:t xml:space="preserve">Koppelen van drie tubing buigstukken: voorbereiding (tubing en fittingen selecteren, gereedschap en hulpmiddelen selecteren – pijpsnijder, afbraamgereedschap, buiggereedschap, montagesleutels, meetmal of markering –, tubing op maat maken en maatvoering controleren), koppelen (fittingen spanningsloos monteren en plaatsen, T-connector plaatsen, werken met voormontageblok en voorschrift) en controleren (markeringen, meetmal, lekdichtheid)</w:t>
      </w:r>
    </w:p>
    <w:p>
      <w:pPr>
        <w:pStyle w:val="ListParagraph"/>
        <w:numPr>
          <w:ilvl w:val="0"/>
          <w:numId w:val="1"/>
        </w:numPr>
        <w:spacing w:after="80"/>
      </w:pPr>
      <w:r>
        <w:rPr>
          <w:sz w:val="21"/>
          <w:szCs w:val="21"/>
        </w:rPr>
        <w:t xml:space="preserve">Selecteren van twin ferrule fittingen: gemonteerde en niet-gemonteerde fittingen selecteren op fabrikant/merk, maatvoering en materiaalsoort</w:t>
      </w:r>
    </w:p>
    <w:p>
      <w:pPr>
        <w:pStyle w:val="Heading2"/>
        <w:spacing w:after="120" w:before="240"/>
      </w:pPr>
      <w:r>
        <w:rPr>
          <w:b/>
          <w:bCs/>
          <w:color w:val="17705F"/>
          <w:sz w:val="24"/>
          <w:szCs w:val="24"/>
        </w:rPr>
        <w:t xml:space="preserve">2.3 Lesmateriaal</w:t>
      </w:r>
    </w:p>
    <w:p>
      <w:pPr>
        <w:pStyle w:val="ListParagraph"/>
        <w:numPr>
          <w:ilvl w:val="0"/>
          <w:numId w:val="1"/>
        </w:numPr>
        <w:spacing w:after="80"/>
      </w:pPr>
      <w:r>
        <w:rPr>
          <w:sz w:val="21"/>
          <w:szCs w:val="21"/>
        </w:rPr>
        <w:t xml:space="preserve">Lesmateriaal conform de SOG-P eisen</w:t>
      </w:r>
    </w:p>
    <w:p>
      <w:pPr>
        <w:pStyle w:val="ListParagraph"/>
        <w:numPr>
          <w:ilvl w:val="0"/>
          <w:numId w:val="1"/>
        </w:numPr>
        <w:spacing w:after="80"/>
      </w:pPr>
      <w:r>
        <w:rPr>
          <w:sz w:val="21"/>
          <w:szCs w:val="21"/>
        </w:rPr>
        <w:t xml:space="preserve">Praktijkopstelling en hulpmiddelen conform bijlage A van het uitvoeringsvoorschrift examinering (tubing, twin ferrule fittingen, gereedschap en voormontageblok)</w:t>
      </w:r>
    </w:p>
    <w:p>
      <w:r>
        <w:br w:type="page"/>
      </w:r>
    </w:p>
    <w:p>
      <w:pPr>
        <w:pStyle w:val="Heading1"/>
        <w:spacing w:after="200" w:before="300"/>
      </w:pPr>
      <w:r>
        <w:rPr>
          <w:b/>
          <w:bCs/>
          <w:color w:val="17705F"/>
          <w:sz w:val="30"/>
          <w:szCs w:val="30"/>
        </w:rPr>
        <w:t xml:space="preserve">Deel 3  Examinering</w:t>
      </w:r>
    </w:p>
    <w:p>
      <w:pPr>
        <w:spacing w:after="160"/>
      </w:pPr>
      <w:r>
        <w:rPr>
          <w:sz w:val="21"/>
          <w:szCs w:val="21"/>
        </w:rPr>
        <w:t xml:space="preserve">Een deelnemer ontvangt het SOG-P diploma Werken met Twin Ferrule fittingen als aan onderstaande wordt voldaan. Het diploma wordt opgenomen in het Centraal Diploma Register van het SSVV.</w:t>
      </w:r>
    </w:p>
    <w:p>
      <w:pPr>
        <w:pStyle w:val="Heading2"/>
        <w:spacing w:after="120" w:before="240"/>
      </w:pPr>
      <w:r>
        <w:rPr>
          <w:b/>
          <w:bCs/>
          <w:color w:val="17705F"/>
          <w:sz w:val="24"/>
          <w:szCs w:val="24"/>
        </w:rPr>
        <w:t xml:space="preserve">3.1 Criteria voor kandidaten</w:t>
      </w:r>
    </w:p>
    <w:p>
      <w:pPr>
        <w:spacing w:after="160"/>
      </w:pPr>
      <w:r>
        <w:rPr>
          <w:sz w:val="21"/>
          <w:szCs w:val="21"/>
        </w:rPr>
        <w:t xml:space="preserve">Voorwaarden voor deelname:</w:t>
      </w:r>
    </w:p>
    <w:p>
      <w:pPr>
        <w:pStyle w:val="ListParagraph"/>
        <w:numPr>
          <w:ilvl w:val="0"/>
          <w:numId w:val="1"/>
        </w:numPr>
        <w:spacing w:after="80"/>
      </w:pPr>
      <w:r>
        <w:rPr>
          <w:sz w:val="21"/>
          <w:szCs w:val="21"/>
        </w:rPr>
        <w:t xml:space="preserve">De deelnemer is minimaal 18 jaar oud;</w:t>
      </w:r>
    </w:p>
    <w:p>
      <w:pPr>
        <w:pStyle w:val="ListParagraph"/>
        <w:numPr>
          <w:ilvl w:val="0"/>
          <w:numId w:val="1"/>
        </w:numPr>
        <w:spacing w:after="80"/>
      </w:pPr>
      <w:r>
        <w:rPr>
          <w:sz w:val="21"/>
          <w:szCs w:val="21"/>
        </w:rPr>
        <w:t xml:space="preserve">De deelnemer is bekend met werkzaamheden in de (petro)chemische industrie;</w:t>
      </w:r>
    </w:p>
    <w:p>
      <w:pPr>
        <w:pStyle w:val="ListParagraph"/>
        <w:numPr>
          <w:ilvl w:val="0"/>
          <w:numId w:val="1"/>
        </w:numPr>
        <w:spacing w:after="80"/>
      </w:pPr>
      <w:r>
        <w:rPr>
          <w:sz w:val="21"/>
          <w:szCs w:val="21"/>
        </w:rPr>
        <w:t xml:space="preserve">De deelnemer beschikt over een geldig B-VCA-diploma of een gelijkwaardig vastgesteld diploma of certificaat (zie het overzicht vrijstellingen en gelijkstellingen SOG-examens);</w:t>
      </w:r>
    </w:p>
    <w:p>
      <w:pPr>
        <w:pStyle w:val="ListParagraph"/>
        <w:numPr>
          <w:ilvl w:val="0"/>
          <w:numId w:val="1"/>
        </w:numPr>
        <w:spacing w:after="80"/>
      </w:pPr>
      <w:r>
        <w:rPr>
          <w:sz w:val="21"/>
          <w:szCs w:val="21"/>
        </w:rPr>
        <w:t xml:space="preserve">De deelnemer beheerst de taal waarin de opleiding en examinering plaatsvinden;</w:t>
      </w:r>
    </w:p>
    <w:p>
      <w:pPr>
        <w:pStyle w:val="ListParagraph"/>
        <w:numPr>
          <w:ilvl w:val="0"/>
          <w:numId w:val="1"/>
        </w:numPr>
        <w:spacing w:after="80"/>
      </w:pPr>
      <w:r>
        <w:rPr>
          <w:sz w:val="21"/>
          <w:szCs w:val="21"/>
        </w:rPr>
        <w:t xml:space="preserve">De deelnemer heeft aantoonbare ervaring met het buigen van tubing; zonder deze ervaring volgt de deelnemer een basisopleiding van 4 dagdelen.</w:t>
      </w:r>
    </w:p>
    <w:p>
      <w:pPr>
        <w:pStyle w:val="Heading2"/>
        <w:spacing w:after="120" w:before="240"/>
      </w:pPr>
      <w:r>
        <w:rPr>
          <w:b/>
          <w:bCs/>
          <w:color w:val="17705F"/>
          <w:sz w:val="24"/>
          <w:szCs w:val="24"/>
        </w:rPr>
        <w:t xml:space="preserve">3.2 Examinering theorie</w:t>
      </w:r>
    </w:p>
    <w:p>
      <w:pPr>
        <w:pStyle w:val="ListParagraph"/>
        <w:numPr>
          <w:ilvl w:val="0"/>
          <w:numId w:val="1"/>
        </w:numPr>
        <w:spacing w:after="80"/>
      </w:pPr>
      <w:r>
        <w:rPr>
          <w:sz w:val="21"/>
          <w:szCs w:val="21"/>
        </w:rPr>
        <w:t xml:space="preserve">Het theorie-examen duurt 30 minuten;</w:t>
      </w:r>
    </w:p>
    <w:p>
      <w:pPr>
        <w:pStyle w:val="ListParagraph"/>
        <w:numPr>
          <w:ilvl w:val="0"/>
          <w:numId w:val="1"/>
        </w:numPr>
        <w:spacing w:after="80"/>
      </w:pPr>
      <w:r>
        <w:rPr>
          <w:sz w:val="21"/>
          <w:szCs w:val="21"/>
        </w:rPr>
        <w:t xml:space="preserve">Het examen bestaat uit 28 vragen (punten), waarvan minimaal 20 punten behaald moeten worden voor een voldoende.</w:t>
      </w:r>
    </w:p>
    <w:p>
      <w:pPr>
        <w:pStyle w:val="Heading2"/>
        <w:spacing w:after="120" w:before="240"/>
      </w:pPr>
      <w:r>
        <w:rPr>
          <w:b/>
          <w:bCs/>
          <w:color w:val="17705F"/>
          <w:sz w:val="24"/>
          <w:szCs w:val="24"/>
        </w:rPr>
        <w:t xml:space="preserve">3.3 Examinering praktijk</w:t>
      </w:r>
    </w:p>
    <w:p>
      <w:pPr>
        <w:pStyle w:val="ListParagraph"/>
        <w:numPr>
          <w:ilvl w:val="0"/>
          <w:numId w:val="1"/>
        </w:numPr>
        <w:spacing w:after="80"/>
      </w:pPr>
      <w:r>
        <w:rPr>
          <w:sz w:val="21"/>
          <w:szCs w:val="21"/>
        </w:rPr>
        <w:t xml:space="preserve">Het praktijkexamen duurt 90 minuten; maximaal 8 kandidaten per examinator;</w:t>
      </w:r>
    </w:p>
    <w:p>
      <w:pPr>
        <w:pStyle w:val="ListParagraph"/>
        <w:numPr>
          <w:ilvl w:val="0"/>
          <w:numId w:val="1"/>
        </w:numPr>
        <w:spacing w:after="80"/>
      </w:pPr>
      <w:r>
        <w:rPr>
          <w:sz w:val="21"/>
          <w:szCs w:val="21"/>
        </w:rPr>
        <w:t xml:space="preserve">Onderdelen: veiligheidsregels, koppelen van drie tubing buigstukken en selecteren van twin ferrule fittingen;</w:t>
      </w:r>
    </w:p>
    <w:p>
      <w:pPr>
        <w:pStyle w:val="ListParagraph"/>
        <w:numPr>
          <w:ilvl w:val="0"/>
          <w:numId w:val="1"/>
        </w:numPr>
        <w:spacing w:after="80"/>
      </w:pPr>
      <w:r>
        <w:rPr>
          <w:sz w:val="21"/>
          <w:szCs w:val="21"/>
        </w:rPr>
        <w:t xml:space="preserve">De toetstermen 1.1, 1.2, 3.1, 3.5, 4.1 en 4.2 (LMRA, pbm's, spanningsloos monteren, werken met voormontageblok, controleren van tubing en fittingen, lekdichtheid) moeten voldoende zijn; van de overige toetstermen mag per opdracht één onvoldoende zijn.</w:t>
      </w:r>
    </w:p>
    <w:p>
      <w:pPr>
        <w:pStyle w:val="Heading2"/>
        <w:spacing w:after="120" w:before="240"/>
      </w:pPr>
      <w:r>
        <w:rPr>
          <w:b/>
          <w:bCs/>
          <w:color w:val="17705F"/>
          <w:sz w:val="24"/>
          <w:szCs w:val="24"/>
        </w:rPr>
        <w:t xml:space="preserve">3.4 Herkansing</w:t>
      </w:r>
    </w:p>
    <w:p>
      <w:pPr>
        <w:spacing w:after="160"/>
      </w:pPr>
      <w:r>
        <w:rPr>
          <w:sz w:val="21"/>
          <w:szCs w:val="21"/>
        </w:rPr>
        <w:t xml:space="preserve">Als een kandidaat niet is geslaagd, mag hij/zij het examen herkansen:</w:t>
      </w:r>
    </w:p>
    <w:p>
      <w:pPr>
        <w:pStyle w:val="ListParagraph"/>
        <w:numPr>
          <w:ilvl w:val="0"/>
          <w:numId w:val="1"/>
        </w:numPr>
        <w:spacing w:after="80"/>
      </w:pPr>
      <w:r>
        <w:rPr>
          <w:sz w:val="21"/>
          <w:szCs w:val="21"/>
        </w:rPr>
        <w:t xml:space="preserve">Is de kandidaat voor een onderdeel geslaagd, dan blijft het resultaat van dat onderdeel zes maanden geldig;</w:t>
      </w:r>
    </w:p>
    <w:p>
      <w:pPr>
        <w:pStyle w:val="ListParagraph"/>
        <w:numPr>
          <w:ilvl w:val="0"/>
          <w:numId w:val="1"/>
        </w:numPr>
        <w:spacing w:after="80"/>
      </w:pPr>
      <w:r>
        <w:rPr>
          <w:sz w:val="21"/>
          <w:szCs w:val="21"/>
        </w:rPr>
        <w:t xml:space="preserve">De kandidaat kan het andere onderdeel binnen deze zes maanden herkansen;</w:t>
      </w:r>
    </w:p>
    <w:p>
      <w:pPr>
        <w:pStyle w:val="ListParagraph"/>
        <w:numPr>
          <w:ilvl w:val="0"/>
          <w:numId w:val="1"/>
        </w:numPr>
        <w:spacing w:after="80"/>
      </w:pPr>
      <w:r>
        <w:rPr>
          <w:sz w:val="21"/>
          <w:szCs w:val="21"/>
        </w:rPr>
        <w:t xml:space="preserve">Na zes maanden moet de kandidaat de opleiding opnieuw volgen en de beide examens opnieuw afleggen bij hetzelfde of een ander opleidingscentrum en/of examencentrum.</w:t>
      </w:r>
    </w:p>
    <w:p>
      <w:pPr>
        <w:pStyle w:val="Heading2"/>
        <w:spacing w:after="120" w:before="240"/>
      </w:pPr>
      <w:r>
        <w:rPr>
          <w:b/>
          <w:bCs/>
          <w:color w:val="17705F"/>
          <w:sz w:val="24"/>
          <w:szCs w:val="24"/>
        </w:rPr>
        <w:t xml:space="preserve">3.5 Geldigheid van de SOG-P-kwalificatie Werken met Twin Ferrule Fittingen</w:t>
      </w:r>
    </w:p>
    <w:p>
      <w:pPr>
        <w:spacing w:after="160"/>
      </w:pPr>
      <w:r>
        <w:rPr>
          <w:sz w:val="21"/>
          <w:szCs w:val="21"/>
        </w:rPr>
        <w:t xml:space="preserve">De geldigheid van dit de kwalificatie bedraagt 5 jaar.</w:t>
      </w:r>
    </w:p>
    <w:p>
      <w:r>
        <w:br w:type="page"/>
      </w:r>
    </w:p>
    <w:p>
      <w:pPr>
        <w:pStyle w:val="Heading1"/>
        <w:spacing w:after="200" w:before="300"/>
      </w:pPr>
      <w:r>
        <w:rPr>
          <w:b/>
          <w:bCs/>
          <w:color w:val="17705F"/>
          <w:sz w:val="30"/>
          <w:szCs w:val="30"/>
        </w:rPr>
        <w:t xml:space="preserve">Deel 4  Kosten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Cursuskosten</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€ 523,60 p.p.</w:t>
            </w:r>
          </w:p>
        </w:tc>
      </w:tr>
      <w:tr>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Examenkosten</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€ 81,00 p.p.</w:t>
            </w:r>
          </w:p>
        </w:tc>
      </w:tr>
      <w:tr>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Certificering</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VCA / SOG</w:t>
            </w:r>
          </w:p>
        </w:tc>
      </w:tr>
      <w:tr>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Geldigheid</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5 jaar</w:t>
            </w:r>
          </w:p>
        </w:tc>
      </w:tr>
      <w:tr>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Cursusduur</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r>
    </w:tbl>
    <w:p/>
    <w:p>
      <w:pPr>
        <w:spacing w:after="160"/>
      </w:pPr>
      <w:r>
        <w:rPr>
          <w:color w:val="555555"/>
          <w:sz w:val="18"/>
          <w:szCs w:val="18"/>
        </w:rPr>
        <w:t xml:space="preserve">Kosten zijn inclusief lesmateriaal en lunch. Examenkosten worden separaat doorbelast. Prijzen zijn exclusief btw.</w:t>
      </w:r>
    </w:p>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AAAA" w:sz="4" w:space="4"/>
      </w:pBdr>
    </w:pPr>
    <w:r>
      <w:rPr>
        <w:color w:val="666666"/>
        <w:sz w:val="15"/>
        <w:szCs w:val="15"/>
      </w:rPr>
      <w:t xml:space="preserve">WERKEN MET TWIN FERRULE FITTINGEN FINALE VERSIE 1.0</w:t>
    </w:r>
  </w:p>
  <w:p>
    <w:pPr>
      <w:jc w:val="right"/>
    </w:pPr>
    <w:r>
      <w:rPr>
        <w:color w:val="666666"/>
        <w:sz w:val="15"/>
        <w:szCs w:val="15"/>
      </w:rPr>
      <w:t xml:space="preserve">Pagina </w:t>
    </w:r>
    <w:r>
      <w:rPr>
        <w:color w:val="666666"/>
        <w:sz w:val="15"/>
        <w:szCs w:val="15"/>
      </w:rPr>
      <w:fldChar w:fldCharType="begin"/>
      <w:instrText xml:space="preserve">PAGE</w:instrText>
      <w:fldChar w:fldCharType="separate"/>
      <w:fldChar w:fldCharType="end"/>
    </w:r>
    <w:r>
      <w:rPr>
        <w:color w:val="666666"/>
        <w:sz w:val="15"/>
        <w:szCs w:val="15"/>
      </w:rPr>
      <w:t xml:space="preserve"> van </w:t>
    </w:r>
    <w:r>
      <w:rPr>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left w:val="none"/>
        <w:bottom w:val="none"/>
        <w:right w:val="none"/>
        <w:insideH w:val="none"/>
        <w:insideV w:val="none"/>
      </w:tblBorders>
    </w:tblPr>
    <w:tblGrid>
      <w:gridCol w:w="100"/>
      <w:gridCol w:w="100"/>
    </w:tblGrid>
    <w:tr>
      <w:tc>
        <w:tcPr>
          <w:tcBorders>
            <w:top w:val="none"/>
            <w:left w:val="none"/>
            <w:bottom w:val="none"/>
            <w:right w:val="none"/>
          </w:tcBorders>
        </w:tcPr>
        <w:p>
          <w:r>
            <w:drawing>
              <wp:inline distT="0" distB="0" distL="0" distR="0">
                <wp:extent cx="1228725"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28725" cy="762000"/>
                        </a:xfrm>
                        <a:prstGeom prst="rect">
                          <a:avLst/>
                        </a:prstGeom>
                      </pic:spPr>
                    </pic:pic>
                  </a:graphicData>
                </a:graphic>
              </wp:inline>
            </w:drawing>
          </w:r>
        </w:p>
      </w:tc>
      <w:tc>
        <w:tcPr>
          <w:tcBorders>
            <w:top w:val="none"/>
            <w:left w:val="none"/>
            <w:bottom w:val="none"/>
            <w:right w:val="none"/>
          </w:tcBorders>
        </w:tcPr>
        <w:p>
          <w:pPr>
            <w:jc w:val="right"/>
          </w:pPr>
          <w:r>
            <w:drawing>
              <wp:inline distT="0" distB="0" distL="0" distR="0">
                <wp:extent cx="10287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28700" cy="762000"/>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1b4f0045fff995dc629ef510cf4d6ac3202155f4.png"/><Relationship Id="rId1" Type="http://schemas.openxmlformats.org/officeDocument/2006/relationships/image" Target="media/90cb83d9c4304d93bc8b96ca381f54d931ad78e5.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2026-10-07T07:16:38.983Z</dcterms:created>
  <dcterms:modified xsi:type="dcterms:W3CDTF">2026-10-07T07:16:38.984Z</dcterms:modified>
</cp:coreProperties>
</file>

<file path=docProps/custom.xml><?xml version="1.0" encoding="utf-8"?>
<Properties xmlns="http://schemas.openxmlformats.org/officeDocument/2006/custom-properties" xmlns:vt="http://schemas.openxmlformats.org/officeDocument/2006/docPropsVTypes"/>
</file>