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
    <w:p/>
    <w:p/>
    <w:p/>
    <w:p/>
    <w:p/>
    <w:p/>
    <w:p/>
    <w:p/>
    <w:p>
      <w:r>
        <w:rPr>
          <w:b/>
          <w:bCs/>
          <w:color w:val="17705F"/>
          <w:sz w:val="40"/>
          <w:szCs w:val="40"/>
        </w:rPr>
        <w:t xml:space="preserve">SOG-P Specificatie beschrijving</w:t>
      </w:r>
    </w:p>
    <w:p>
      <w:pPr>
        <w:spacing w:before="100"/>
      </w:pPr>
      <w:r>
        <w:rPr>
          <w:b/>
          <w:bCs/>
          <w:color w:val="222222"/>
          <w:sz w:val="30"/>
          <w:szCs w:val="30"/>
        </w:rPr>
        <w:t xml:space="preserve">Werken met een Vorkheftruck</w:t>
      </w:r>
    </w:p>
    <w:p/>
    <w:p/>
    <w:p/>
    <w:p/>
    <w:p/>
    <w:p/>
    <w:p/>
    <w:p/>
    <w:p/>
    <w:p/>
    <w:p/>
    <w:p/>
    <w:p/>
    <w:p/>
    <w:p/>
    <w:p/>
    <w:p>
      <w:pPr>
        <w:jc w:val="right"/>
      </w:pPr>
      <w:r>
        <w:rPr>
          <w:sz w:val="21"/>
          <w:szCs w:val="21"/>
        </w:rPr>
        <w:t xml:space="preserve">Finale versie: 1.0</w:t>
      </w:r>
    </w:p>
    <w:p>
      <w:pPr>
        <w:jc w:val="right"/>
      </w:pPr>
      <w:r>
        <w:rPr>
          <w:sz w:val="21"/>
          <w:szCs w:val="21"/>
        </w:rPr>
        <w:t xml:space="preserve">Versiedatum: 01-10-2026</w:t>
      </w:r>
    </w:p>
    <w:p>
      <w:r>
        <w:br w:type="page"/>
      </w:r>
    </w:p>
    <w:p>
      <w:pPr>
        <w:pStyle w:val="Heading1"/>
        <w:spacing w:after="200" w:before="300"/>
      </w:pPr>
      <w:r>
        <w:rPr>
          <w:b/>
          <w:bCs/>
          <w:color w:val="17705F"/>
          <w:sz w:val="30"/>
          <w:szCs w:val="30"/>
        </w:rPr>
        <w:t xml:space="preserve">Deel 1  Doelgroep</w:t>
      </w:r>
    </w:p>
    <w:p>
      <w:pPr>
        <w:pStyle w:val="Heading2"/>
        <w:spacing w:after="120" w:before="240"/>
      </w:pPr>
      <w:r>
        <w:rPr>
          <w:b/>
          <w:bCs/>
          <w:color w:val="17705F"/>
          <w:sz w:val="24"/>
          <w:szCs w:val="24"/>
        </w:rPr>
        <w:t xml:space="preserve">1.1 Doelgroep van de opleiding</w:t>
      </w:r>
    </w:p>
    <w:p>
      <w:pPr>
        <w:spacing w:after="160"/>
      </w:pPr>
      <w:r>
        <w:rPr>
          <w:sz w:val="21"/>
          <w:szCs w:val="21"/>
        </w:rPr>
        <w:t xml:space="preserve">De SOG-P opleiding Werken met een vorkheftruck is bedoeld voor medewerkers die in de (petro)chemische industrie werkzaamheden uitvoeren met een vorkheftruck op bedrijfs- of fabrieksterreinen, zoals in installaties, werkplaatsen, magazijnen en laboratoria.</w:t>
      </w:r>
    </w:p>
    <w:p>
      <w:pPr>
        <w:spacing w:after="160"/>
      </w:pPr>
      <w:r>
        <w:rPr>
          <w:sz w:val="21"/>
          <w:szCs w:val="21"/>
        </w:rPr>
        <w:t xml:space="preserve">De opleiding richt zich op medewerkers die in risicovolle industriële omgevingen werken, waar het veilig verplaatsen, laden, lossen en opslaan van goederen essentieel is voor een veilige en efficiënte uitvoering van de werkzaamheden. De opleiding vormt een startkwalificatie.</w:t>
      </w:r>
    </w:p>
    <w:p>
      <w:pPr>
        <w:pStyle w:val="Heading2"/>
        <w:spacing w:after="120" w:before="240"/>
      </w:pPr>
      <w:r>
        <w:rPr>
          <w:b/>
          <w:bCs/>
          <w:color w:val="17705F"/>
          <w:sz w:val="24"/>
          <w:szCs w:val="24"/>
        </w:rPr>
        <w:t xml:space="preserve">1.2 Voorwaarden voor deelname</w:t>
      </w:r>
    </w:p>
    <w:p>
      <w:pPr>
        <w:spacing w:after="160"/>
      </w:pPr>
      <w:r>
        <w:rPr>
          <w:sz w:val="21"/>
          <w:szCs w:val="21"/>
        </w:rPr>
        <w:t xml:space="preserve">Voorwaarden voor deelname:</w:t>
      </w:r>
    </w:p>
    <w:p>
      <w:pPr>
        <w:pStyle w:val="ListParagraph"/>
        <w:numPr>
          <w:ilvl w:val="0"/>
          <w:numId w:val="1"/>
        </w:numPr>
        <w:spacing w:after="80"/>
      </w:pPr>
      <w:r>
        <w:rPr>
          <w:sz w:val="21"/>
          <w:szCs w:val="21"/>
        </w:rPr>
        <w:t xml:space="preserve">De deelnemer is minimaal 18 jaar oud;</w:t>
      </w:r>
    </w:p>
    <w:p>
      <w:pPr>
        <w:pStyle w:val="ListParagraph"/>
        <w:numPr>
          <w:ilvl w:val="0"/>
          <w:numId w:val="1"/>
        </w:numPr>
        <w:spacing w:after="80"/>
      </w:pPr>
      <w:r>
        <w:rPr>
          <w:sz w:val="21"/>
          <w:szCs w:val="21"/>
        </w:rPr>
        <w:t xml:space="preserve">De deelnemer is bekend met werkzaamheden in de (petro)chemische industrie;</w:t>
      </w:r>
    </w:p>
    <w:p>
      <w:pPr>
        <w:pStyle w:val="ListParagraph"/>
        <w:numPr>
          <w:ilvl w:val="0"/>
          <w:numId w:val="1"/>
        </w:numPr>
        <w:spacing w:after="80"/>
      </w:pPr>
      <w:r>
        <w:rPr>
          <w:sz w:val="21"/>
          <w:szCs w:val="21"/>
        </w:rPr>
        <w:t xml:space="preserve">De deelnemer beschikt over een geldig B-VCA-diploma of een gelijkwaardig vastgesteld diploma of certificaat (zie het overzicht vrijstellingen en gelijkstellingen SOG-examens);</w:t>
      </w:r>
    </w:p>
    <w:p>
      <w:pPr>
        <w:pStyle w:val="ListParagraph"/>
        <w:numPr>
          <w:ilvl w:val="0"/>
          <w:numId w:val="1"/>
        </w:numPr>
        <w:spacing w:after="80"/>
      </w:pPr>
      <w:r>
        <w:rPr>
          <w:sz w:val="21"/>
          <w:szCs w:val="21"/>
        </w:rPr>
        <w:t xml:space="preserve">De deelnemer beheerst de taal waarin de opleiding en examinering plaatsvinden;</w:t>
      </w:r>
    </w:p>
    <w:p>
      <w:pPr>
        <w:pStyle w:val="ListParagraph"/>
        <w:numPr>
          <w:ilvl w:val="0"/>
          <w:numId w:val="1"/>
        </w:numPr>
        <w:spacing w:after="80"/>
      </w:pPr>
      <w:r>
        <w:rPr>
          <w:sz w:val="21"/>
          <w:szCs w:val="21"/>
        </w:rPr>
        <w:t xml:space="preserve">De deelnemer beschikt minimaal over een rijbewijs B, T of C.</w:t>
      </w:r>
    </w:p>
    <w:p>
      <w:r>
        <w:br w:type="page"/>
      </w:r>
    </w:p>
    <w:p>
      <w:pPr>
        <w:pStyle w:val="Heading1"/>
        <w:spacing w:after="200" w:before="300"/>
      </w:pPr>
      <w:r>
        <w:rPr>
          <w:b/>
          <w:bCs/>
          <w:color w:val="17705F"/>
          <w:sz w:val="30"/>
          <w:szCs w:val="30"/>
        </w:rPr>
        <w:t xml:space="preserve">Deel 2  Opleiding</w:t>
      </w:r>
    </w:p>
    <w:p>
      <w:pPr>
        <w:pStyle w:val="Heading2"/>
        <w:spacing w:after="120" w:before="240"/>
      </w:pPr>
      <w:r>
        <w:rPr>
          <w:b/>
          <w:bCs/>
          <w:color w:val="17705F"/>
          <w:sz w:val="24"/>
          <w:szCs w:val="24"/>
        </w:rPr>
        <w:t xml:space="preserve">2.1 Opleidingsduur</w:t>
      </w:r>
    </w:p>
    <w:p>
      <w:pPr>
        <w:spacing w:after="160"/>
      </w:pPr>
      <w:r>
        <w:rPr>
          <w:sz w:val="21"/>
          <w:szCs w:val="21"/>
        </w:rPr>
        <w:t xml:space="preserve">Basisopleiding: minimaal 3,5 uur opleiding (minimaal 2,5 uur theorieles en minimaal 1 uur praktijkles per deelnemer), exclusief examinering.</w:t>
      </w:r>
    </w:p>
    <w:p>
      <w:pPr>
        <w:spacing w:after="160"/>
      </w:pPr>
      <w:r>
        <w:rPr>
          <w:sz w:val="21"/>
          <w:szCs w:val="21"/>
        </w:rPr>
        <w:t xml:space="preserve">Herhalingsopleiding: minimaal 2 uur opleiding (minimaal 1,5 uur theorieles en minimaal 0,5 uur praktijkles per deelnemer), exclusief examinering. Een herhalingsopleiding kan worden gevolgd wanneer het diploma nog geldig is of maximaal 3 maanden verlopen is; is het diploma langer verlopen, dan moet opnieuw de basisopleiding worden gevolgd.</w:t>
      </w:r>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AAAAAA" w:sz="2"/>
              <w:left w:val="single" w:color="AAAAAA" w:sz="2"/>
              <w:bottom w:val="single" w:color="AAAAAA" w:sz="2"/>
              <w:right w:val="single" w:color="AAAAAA" w:sz="2"/>
            </w:tcBorders>
            <w:shd w:fill="17705F" w:color="auto" w:val="clear"/>
            <w:tcMar>
              <w:top w:type="dxa" w:w="100"/>
              <w:left w:type="dxa" w:w="120"/>
              <w:bottom w:type="dxa" w:w="100"/>
              <w:right w:type="dxa" w:w="120"/>
            </w:tcMar>
            <w:vAlign w:val="center"/>
          </w:tcPr>
          <w:p>
            <w:r>
              <w:rPr>
                <w:b/>
                <w:bCs/>
                <w:color w:val="FFFFFF"/>
                <w:sz w:val="20"/>
                <w:szCs w:val="20"/>
              </w:rPr>
              <w:t xml:space="preserve">Onderdeel</w:t>
            </w:r>
          </w:p>
        </w:tc>
        <w:tc>
          <w:tcPr>
            <w:tcBorders>
              <w:top w:val="single" w:color="AAAAAA" w:sz="2"/>
              <w:left w:val="single" w:color="AAAAAA" w:sz="2"/>
              <w:bottom w:val="single" w:color="AAAAAA" w:sz="2"/>
              <w:right w:val="single" w:color="AAAAAA" w:sz="2"/>
            </w:tcBorders>
            <w:shd w:fill="17705F" w:color="auto" w:val="clear"/>
            <w:tcMar>
              <w:top w:type="dxa" w:w="100"/>
              <w:left w:type="dxa" w:w="120"/>
              <w:bottom w:type="dxa" w:w="100"/>
              <w:right w:type="dxa" w:w="120"/>
            </w:tcMar>
            <w:vAlign w:val="center"/>
          </w:tcPr>
          <w:p>
            <w:r>
              <w:rPr>
                <w:b/>
                <w:bCs/>
                <w:color w:val="FFFFFF"/>
                <w:sz w:val="20"/>
                <w:szCs w:val="20"/>
              </w:rPr>
              <w:t xml:space="preserve">Basis</w:t>
            </w:r>
          </w:p>
        </w:tc>
        <w:tc>
          <w:tcPr>
            <w:tcBorders>
              <w:top w:val="single" w:color="AAAAAA" w:sz="2"/>
              <w:left w:val="single" w:color="AAAAAA" w:sz="2"/>
              <w:bottom w:val="single" w:color="AAAAAA" w:sz="2"/>
              <w:right w:val="single" w:color="AAAAAA" w:sz="2"/>
            </w:tcBorders>
            <w:shd w:fill="17705F" w:color="auto" w:val="clear"/>
            <w:tcMar>
              <w:top w:type="dxa" w:w="100"/>
              <w:left w:type="dxa" w:w="120"/>
              <w:bottom w:type="dxa" w:w="100"/>
              <w:right w:type="dxa" w:w="120"/>
            </w:tcMar>
            <w:vAlign w:val="center"/>
          </w:tcPr>
          <w:p>
            <w:r>
              <w:rPr>
                <w:b/>
                <w:bCs/>
                <w:color w:val="FFFFFF"/>
                <w:sz w:val="20"/>
                <w:szCs w:val="20"/>
              </w:rPr>
              <w:t xml:space="preserve">Herhaling</w:t>
            </w:r>
          </w:p>
        </w:tc>
      </w:tr>
      <w:tr>
        <w:tc>
          <w:tcPr>
            <w:tcBorders>
              <w:top w:val="single" w:color="AAAAAA" w:sz="2"/>
              <w:left w:val="single" w:color="AAAAAA" w:sz="2"/>
              <w:bottom w:val="single" w:color="AAAAAA" w:sz="2"/>
              <w:right w:val="single" w:color="AAAAAA" w:sz="2"/>
            </w:tcBorders>
            <w:shd w:fill="F2F2F2" w:color="auto" w:val="clear"/>
            <w:tcMar>
              <w:top w:type="dxa" w:w="100"/>
              <w:left w:type="dxa" w:w="120"/>
              <w:bottom w:type="dxa" w:w="100"/>
              <w:right w:type="dxa" w:w="120"/>
            </w:tcMar>
            <w:vAlign w:val="center"/>
          </w:tcPr>
          <w:p>
            <w:r>
              <w:rPr>
                <w:sz w:val="20"/>
                <w:szCs w:val="20"/>
              </w:rPr>
              <w:t xml:space="preserve">Theorie</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min. 2,5 uur</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min. 1,5 uur</w:t>
            </w:r>
          </w:p>
        </w:tc>
      </w:tr>
      <w:tr>
        <w:tc>
          <w:tcPr>
            <w:tcBorders>
              <w:top w:val="single" w:color="AAAAAA" w:sz="2"/>
              <w:left w:val="single" w:color="AAAAAA" w:sz="2"/>
              <w:bottom w:val="single" w:color="AAAAAA" w:sz="2"/>
              <w:right w:val="single" w:color="AAAAAA" w:sz="2"/>
            </w:tcBorders>
            <w:shd w:fill="F2F2F2" w:color="auto" w:val="clear"/>
            <w:tcMar>
              <w:top w:type="dxa" w:w="100"/>
              <w:left w:type="dxa" w:w="120"/>
              <w:bottom w:type="dxa" w:w="100"/>
              <w:right w:type="dxa" w:w="120"/>
            </w:tcMar>
            <w:vAlign w:val="center"/>
          </w:tcPr>
          <w:p>
            <w:r>
              <w:rPr>
                <w:sz w:val="20"/>
                <w:szCs w:val="20"/>
              </w:rPr>
              <w:t xml:space="preserve">Praktijk (per deelnemer)</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min. 1 uur</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min. 0,5 uur</w:t>
            </w:r>
          </w:p>
        </w:tc>
      </w:tr>
      <w:tr>
        <w:tc>
          <w:tcPr>
            <w:tcBorders>
              <w:top w:val="single" w:color="AAAAAA" w:sz="2"/>
              <w:left w:val="single" w:color="AAAAAA" w:sz="2"/>
              <w:bottom w:val="single" w:color="AAAAAA" w:sz="2"/>
              <w:right w:val="single" w:color="AAAAAA" w:sz="2"/>
            </w:tcBorders>
            <w:shd w:fill="F2F2F2" w:color="auto" w:val="clear"/>
            <w:tcMar>
              <w:top w:type="dxa" w:w="100"/>
              <w:left w:type="dxa" w:w="120"/>
              <w:bottom w:type="dxa" w:w="100"/>
              <w:right w:type="dxa" w:w="120"/>
            </w:tcMar>
            <w:vAlign w:val="center"/>
          </w:tcPr>
          <w:p>
            <w:r>
              <w:rPr>
                <w:sz w:val="20"/>
                <w:szCs w:val="20"/>
              </w:rPr>
              <w:t xml:space="preserve">Totaal (excl. examen)</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min. 3,5 uur</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min. 2 uur</w:t>
            </w:r>
          </w:p>
        </w:tc>
      </w:tr>
      <w:tr>
        <w:tc>
          <w:tcPr>
            <w:tcBorders>
              <w:top w:val="single" w:color="AAAAAA" w:sz="2"/>
              <w:left w:val="single" w:color="AAAAAA" w:sz="2"/>
              <w:bottom w:val="single" w:color="AAAAAA" w:sz="2"/>
              <w:right w:val="single" w:color="AAAAAA" w:sz="2"/>
            </w:tcBorders>
            <w:shd w:fill="F2F2F2" w:color="auto" w:val="clear"/>
            <w:tcMar>
              <w:top w:type="dxa" w:w="100"/>
              <w:left w:type="dxa" w:w="120"/>
              <w:bottom w:type="dxa" w:w="100"/>
              <w:right w:type="dxa" w:w="120"/>
            </w:tcMar>
            <w:vAlign w:val="center"/>
          </w:tcPr>
          <w:p>
            <w:r>
              <w:rPr>
                <w:sz w:val="20"/>
                <w:szCs w:val="20"/>
              </w:rPr>
              <w:t xml:space="preserve">Cursusduur (TCC)</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1 dag</w:t>
            </w:r>
          </w:p>
        </w:tc>
        <w:tc>
          <w:tcPr>
            <w:tcBorders>
              <w:top w:val="single" w:color="AAAAAA" w:sz="2"/>
              <w:left w:val="single" w:color="AAAAAA" w:sz="2"/>
              <w:bottom w:val="single" w:color="AAAAAA" w:sz="2"/>
              <w:right w:val="single" w:color="AAAAAA" w:sz="2"/>
            </w:tcBorders>
            <w:tcMar>
              <w:top w:type="dxa" w:w="100"/>
              <w:left w:type="dxa" w:w="120"/>
              <w:bottom w:type="dxa" w:w="100"/>
              <w:right w:type="dxa" w:w="120"/>
            </w:tcMar>
            <w:vAlign w:val="center"/>
          </w:tcPr>
          <w:p>
            <w:r>
              <w:rPr>
                <w:sz w:val="20"/>
                <w:szCs w:val="20"/>
              </w:rPr>
              <w:t xml:space="preserve">1 dag</w:t>
            </w:r>
          </w:p>
        </w:tc>
      </w:tr>
    </w:tbl>
    <w:p/>
    <w:p>
      <w:pPr>
        <w:spacing w:after="160"/>
      </w:pPr>
      <w:r>
        <w:rPr>
          <w:i/>
          <w:iCs/>
          <w:color w:val="555555"/>
          <w:sz w:val="19"/>
          <w:szCs w:val="19"/>
        </w:rPr>
        <w:t>Minimaal 6 en maximaal 12 deelnemers per training.</w:t>
      </w:r>
    </w:p>
    <w:p>
      <w:pPr>
        <w:pStyle w:val="Heading2"/>
        <w:spacing w:after="120" w:before="240"/>
      </w:pPr>
      <w:r>
        <w:rPr>
          <w:b/>
          <w:bCs/>
          <w:color w:val="17705F"/>
          <w:sz w:val="24"/>
          <w:szCs w:val="24"/>
        </w:rPr>
        <w:t xml:space="preserve">2.2 Inhoud</w:t>
      </w:r>
    </w:p>
    <w:p>
      <w:pPr>
        <w:spacing w:after="160"/>
      </w:pPr>
      <w:r>
        <w:rPr>
          <w:b/>
          <w:bCs/>
          <w:sz w:val="21"/>
          <w:szCs w:val="21"/>
        </w:rPr>
        <w:t xml:space="preserve">Theorie</w:t>
      </w:r>
    </w:p>
    <w:p>
      <w:pPr>
        <w:pStyle w:val="ListParagraph"/>
        <w:numPr>
          <w:ilvl w:val="0"/>
          <w:numId w:val="1"/>
        </w:numPr>
        <w:spacing w:after="80"/>
      </w:pPr>
      <w:r>
        <w:rPr>
          <w:sz w:val="21"/>
          <w:szCs w:val="21"/>
        </w:rPr>
        <w:t xml:space="preserve">Basisbegrippen: transportmiddelen die lijken op de vorkheftruck (reachtruck, motorpallettruck, stapelaar, handpallettruck, verreiker), hulpmiddelen voor speciale lasten (vatenklem, kantelaar, balen-/papierklem, vorkenspreider, doorn), soorten pallets en opslagmethoden, begrippen als afzethoogte, vrije heffing, doorrijhoogte, masttypes, draaicirkel, explosieveilige heftruck en maximale hefhoogte, en de verschillende typen aandrijvingen (elektrisch, diesel, gas)</w:t>
      </w:r>
    </w:p>
    <w:p>
      <w:pPr>
        <w:pStyle w:val="ListParagraph"/>
        <w:numPr>
          <w:ilvl w:val="0"/>
          <w:numId w:val="1"/>
        </w:numPr>
        <w:spacing w:after="80"/>
      </w:pPr>
      <w:r>
        <w:rPr>
          <w:sz w:val="21"/>
          <w:szCs w:val="21"/>
        </w:rPr>
        <w:t xml:space="preserve">Wettelijke bepalingen: voorschriften op de truck (opschriften/begrippen), keuringsfrequentie, rijden en parkeren, vereiste deskundigheid van de bestuurder, geldigheid van de keuring</w:t>
      </w:r>
    </w:p>
    <w:p>
      <w:pPr>
        <w:pStyle w:val="ListParagraph"/>
        <w:numPr>
          <w:ilvl w:val="0"/>
          <w:numId w:val="1"/>
        </w:numPr>
        <w:spacing w:after="80"/>
      </w:pPr>
      <w:r>
        <w:rPr>
          <w:sz w:val="21"/>
          <w:szCs w:val="21"/>
        </w:rPr>
        <w:t xml:space="preserve">Arbowet: verantwoordelijkheden van de heftruckchauffeur en van de opdrachtgever; aansprakelijkheid bij een ongewenste gebeurtenis</w:t>
      </w:r>
    </w:p>
    <w:p>
      <w:pPr>
        <w:pStyle w:val="ListParagraph"/>
        <w:numPr>
          <w:ilvl w:val="0"/>
          <w:numId w:val="1"/>
        </w:numPr>
        <w:spacing w:after="80"/>
      </w:pPr>
      <w:r>
        <w:rPr>
          <w:sz w:val="21"/>
          <w:szCs w:val="21"/>
        </w:rPr>
        <w:t xml:space="preserve">Veiligheidsvoorschriften en verkeersregels: rijrichting, afremmen voor een bocht, afstand tussen heftrucks, aangepaste rijsnelheid, gebruik van de veiligheidskooi, verbod op meerijden van passagiers, rijhoogte van de vorken, defensief rijden en interactie met anderen</w:t>
      </w:r>
    </w:p>
    <w:p>
      <w:pPr>
        <w:pStyle w:val="ListParagraph"/>
        <w:numPr>
          <w:ilvl w:val="0"/>
          <w:numId w:val="1"/>
        </w:numPr>
        <w:spacing w:after="80"/>
      </w:pPr>
      <w:r>
        <w:rPr>
          <w:sz w:val="21"/>
          <w:szCs w:val="21"/>
        </w:rPr>
        <w:t xml:space="preserve">Lastdiagram: het zwaartepunt van de last bepalen en een lastdiagram aflezen en interpreteren</w:t>
      </w:r>
    </w:p>
    <w:p>
      <w:pPr>
        <w:pStyle w:val="ListParagraph"/>
        <w:numPr>
          <w:ilvl w:val="0"/>
          <w:numId w:val="1"/>
        </w:numPr>
        <w:spacing w:after="80"/>
      </w:pPr>
      <w:r>
        <w:rPr>
          <w:sz w:val="21"/>
          <w:szCs w:val="21"/>
        </w:rPr>
        <w:t xml:space="preserve">Behandelingsetiketten: de betekenis herkennen</w:t>
      </w:r>
    </w:p>
    <w:p>
      <w:pPr>
        <w:pStyle w:val="ListParagraph"/>
        <w:numPr>
          <w:ilvl w:val="0"/>
          <w:numId w:val="1"/>
        </w:numPr>
        <w:spacing w:after="80"/>
      </w:pPr>
      <w:r>
        <w:rPr>
          <w:sz w:val="21"/>
          <w:szCs w:val="21"/>
        </w:rPr>
        <w:t xml:space="preserve">Belasting en stabiliteit: factoren en gevolgen die de belasting en stabiliteit van de heftruck en/of de lading beïnvloeden (stand van de mast, hefhoogte, versnellen/vertragen, stuurbewegingen, overbelasting, ondergrond, transporttraject)</w:t>
      </w:r>
    </w:p>
    <w:p/>
    <w:p>
      <w:pPr>
        <w:spacing w:after="160"/>
      </w:pPr>
      <w:r>
        <w:rPr>
          <w:b/>
          <w:bCs/>
          <w:sz w:val="21"/>
          <w:szCs w:val="21"/>
        </w:rPr>
        <w:t xml:space="preserve">Praktijk</w:t>
      </w:r>
    </w:p>
    <w:p>
      <w:pPr>
        <w:pStyle w:val="ListParagraph"/>
        <w:numPr>
          <w:ilvl w:val="0"/>
          <w:numId w:val="1"/>
        </w:numPr>
        <w:spacing w:after="80"/>
      </w:pPr>
      <w:r>
        <w:rPr>
          <w:sz w:val="21"/>
          <w:szCs w:val="21"/>
        </w:rPr>
        <w:t xml:space="preserve">Een LMRA uitvoeren</w:t>
      </w:r>
    </w:p>
    <w:p>
      <w:pPr>
        <w:pStyle w:val="ListParagraph"/>
        <w:numPr>
          <w:ilvl w:val="0"/>
          <w:numId w:val="1"/>
        </w:numPr>
        <w:spacing w:after="80"/>
      </w:pPr>
      <w:r>
        <w:rPr>
          <w:sz w:val="21"/>
          <w:szCs w:val="21"/>
        </w:rPr>
        <w:t xml:space="preserve">De werkplek en werkomstandigheden beoordelen</w:t>
      </w:r>
    </w:p>
    <w:p>
      <w:pPr>
        <w:pStyle w:val="ListParagraph"/>
        <w:numPr>
          <w:ilvl w:val="0"/>
          <w:numId w:val="1"/>
        </w:numPr>
        <w:spacing w:after="80"/>
      </w:pPr>
      <w:r>
        <w:rPr>
          <w:sz w:val="21"/>
          <w:szCs w:val="21"/>
        </w:rPr>
        <w:t xml:space="preserve">De vorkheftruck inspecteren en een dagelijkse controle uitvoeren</w:t>
      </w:r>
    </w:p>
    <w:p>
      <w:pPr>
        <w:pStyle w:val="ListParagraph"/>
        <w:numPr>
          <w:ilvl w:val="0"/>
          <w:numId w:val="1"/>
        </w:numPr>
        <w:spacing w:after="80"/>
      </w:pPr>
      <w:r>
        <w:rPr>
          <w:sz w:val="21"/>
          <w:szCs w:val="21"/>
        </w:rPr>
        <w:t xml:space="preserve">Lasten veilig opnemen, verplaatsen, stapelen, laden en lossen</w:t>
      </w:r>
    </w:p>
    <w:p>
      <w:pPr>
        <w:pStyle w:val="ListParagraph"/>
        <w:numPr>
          <w:ilvl w:val="0"/>
          <w:numId w:val="1"/>
        </w:numPr>
        <w:spacing w:after="80"/>
      </w:pPr>
      <w:r>
        <w:rPr>
          <w:sz w:val="21"/>
          <w:szCs w:val="21"/>
        </w:rPr>
        <w:t xml:space="preserve">Het lastdiagram toepassen en de stabiliteit van de lading beoordelen</w:t>
      </w:r>
    </w:p>
    <w:p>
      <w:pPr>
        <w:pStyle w:val="ListParagraph"/>
        <w:numPr>
          <w:ilvl w:val="0"/>
          <w:numId w:val="1"/>
        </w:numPr>
        <w:spacing w:after="80"/>
      </w:pPr>
      <w:r>
        <w:rPr>
          <w:sz w:val="21"/>
          <w:szCs w:val="21"/>
        </w:rPr>
        <w:t xml:space="preserve">Veilig manoeuvreren en rijden volgens de geldende verkeers- en veiligheidsregels</w:t>
      </w:r>
    </w:p>
    <w:p>
      <w:pPr>
        <w:pStyle w:val="ListParagraph"/>
        <w:numPr>
          <w:ilvl w:val="0"/>
          <w:numId w:val="1"/>
        </w:numPr>
        <w:spacing w:after="80"/>
      </w:pPr>
      <w:r>
        <w:rPr>
          <w:sz w:val="21"/>
          <w:szCs w:val="21"/>
        </w:rPr>
        <w:t xml:space="preserve">De juiste pbm's en veiligheidsvoorzieningen gebruiken</w:t>
      </w:r>
    </w:p>
    <w:p>
      <w:pPr>
        <w:pStyle w:val="ListParagraph"/>
        <w:numPr>
          <w:ilvl w:val="0"/>
          <w:numId w:val="1"/>
        </w:numPr>
        <w:spacing w:after="80"/>
      </w:pPr>
      <w:r>
        <w:rPr>
          <w:sz w:val="21"/>
          <w:szCs w:val="21"/>
        </w:rPr>
        <w:t xml:space="preserve">Risico's, afwijkingen en onveilige situaties herkennen en passende maatregelen nemen</w:t>
      </w:r>
    </w:p>
    <w:p>
      <w:pPr>
        <w:pStyle w:val="ListParagraph"/>
        <w:numPr>
          <w:ilvl w:val="0"/>
          <w:numId w:val="1"/>
        </w:numPr>
        <w:spacing w:after="80"/>
      </w:pPr>
      <w:r>
        <w:rPr>
          <w:sz w:val="21"/>
          <w:szCs w:val="21"/>
        </w:rPr>
        <w:t xml:space="preserve">Veilig samenwerken en communiceren tijdens werkzaamheden</w:t>
      </w:r>
    </w:p>
    <w:p>
      <w:pPr>
        <w:pStyle w:val="Heading2"/>
        <w:spacing w:after="120" w:before="240"/>
      </w:pPr>
      <w:r>
        <w:rPr>
          <w:b/>
          <w:bCs/>
          <w:color w:val="17705F"/>
          <w:sz w:val="24"/>
          <w:szCs w:val="24"/>
        </w:rPr>
        <w:t xml:space="preserve">2.3 Lesmateriaal</w:t>
      </w:r>
    </w:p>
    <w:p>
      <w:pPr>
        <w:pStyle w:val="ListParagraph"/>
        <w:numPr>
          <w:ilvl w:val="0"/>
          <w:numId w:val="1"/>
        </w:numPr>
        <w:spacing w:after="80"/>
      </w:pPr>
      <w:r>
        <w:rPr>
          <w:sz w:val="21"/>
          <w:szCs w:val="21"/>
        </w:rPr>
        <w:t xml:space="preserve">PowerPoint-presentatie</w:t>
      </w:r>
    </w:p>
    <w:p>
      <w:pPr>
        <w:pStyle w:val="ListParagraph"/>
        <w:numPr>
          <w:ilvl w:val="0"/>
          <w:numId w:val="1"/>
        </w:numPr>
        <w:spacing w:after="80"/>
      </w:pPr>
      <w:r>
        <w:rPr>
          <w:sz w:val="21"/>
          <w:szCs w:val="21"/>
        </w:rPr>
        <w:t xml:space="preserve">Lesboek/cursusmateriaal conform de SOG-P eisen</w:t>
      </w:r>
    </w:p>
    <w:p>
      <w:r>
        <w:br w:type="page"/>
      </w:r>
    </w:p>
    <w:p>
      <w:pPr>
        <w:pStyle w:val="Heading1"/>
        <w:spacing w:after="200" w:before="300"/>
      </w:pPr>
      <w:r>
        <w:rPr>
          <w:b/>
          <w:bCs/>
          <w:color w:val="17705F"/>
          <w:sz w:val="30"/>
          <w:szCs w:val="30"/>
        </w:rPr>
        <w:t xml:space="preserve">Deel 3  Examinering</w:t>
      </w:r>
    </w:p>
    <w:p>
      <w:pPr>
        <w:spacing w:after="160"/>
      </w:pPr>
      <w:r>
        <w:rPr>
          <w:sz w:val="21"/>
          <w:szCs w:val="21"/>
        </w:rPr>
        <w:t xml:space="preserve">Een deelnemer Werken met een Vorkheftruck ontvangt het SOG-P diploma Werken met een Vorkheftruck als aan onderstaande wordt voldaan. Het diploma wordt opgenomen in het Centraal Diploma Register van het SSVV.</w:t>
      </w:r>
    </w:p>
    <w:p>
      <w:pPr>
        <w:pStyle w:val="Heading2"/>
        <w:spacing w:after="120" w:before="240"/>
      </w:pPr>
      <w:r>
        <w:rPr>
          <w:b/>
          <w:bCs/>
          <w:color w:val="17705F"/>
          <w:sz w:val="24"/>
          <w:szCs w:val="24"/>
        </w:rPr>
        <w:t xml:space="preserve">3.1 Criteria voor kandidaten</w:t>
      </w:r>
    </w:p>
    <w:p>
      <w:pPr>
        <w:spacing w:after="160"/>
      </w:pPr>
      <w:r>
        <w:rPr>
          <w:sz w:val="21"/>
          <w:szCs w:val="21"/>
        </w:rPr>
        <w:t xml:space="preserve">Voorwaarden voor deelname:</w:t>
      </w:r>
    </w:p>
    <w:p>
      <w:pPr>
        <w:pStyle w:val="ListParagraph"/>
        <w:numPr>
          <w:ilvl w:val="0"/>
          <w:numId w:val="1"/>
        </w:numPr>
        <w:spacing w:after="80"/>
      </w:pPr>
      <w:r>
        <w:rPr>
          <w:sz w:val="21"/>
          <w:szCs w:val="21"/>
        </w:rPr>
        <w:t xml:space="preserve">De deelnemer is minimaal 18 jaar oud;</w:t>
      </w:r>
    </w:p>
    <w:p>
      <w:pPr>
        <w:pStyle w:val="ListParagraph"/>
        <w:numPr>
          <w:ilvl w:val="0"/>
          <w:numId w:val="1"/>
        </w:numPr>
        <w:spacing w:after="80"/>
      </w:pPr>
      <w:r>
        <w:rPr>
          <w:sz w:val="21"/>
          <w:szCs w:val="21"/>
        </w:rPr>
        <w:t xml:space="preserve">De deelnemer is bekend met werkzaamheden in de (petro)chemische industrie;</w:t>
      </w:r>
    </w:p>
    <w:p>
      <w:pPr>
        <w:pStyle w:val="ListParagraph"/>
        <w:numPr>
          <w:ilvl w:val="0"/>
          <w:numId w:val="1"/>
        </w:numPr>
        <w:spacing w:after="80"/>
      </w:pPr>
      <w:r>
        <w:rPr>
          <w:sz w:val="21"/>
          <w:szCs w:val="21"/>
        </w:rPr>
        <w:t xml:space="preserve">De deelnemer beschikt over een geldig B-VCA-diploma of een gelijkwaardig vastgesteld diploma of certificaat (zie het overzicht vrijstellingen en gelijkstellingen SOG-examens);</w:t>
      </w:r>
    </w:p>
    <w:p>
      <w:pPr>
        <w:pStyle w:val="ListParagraph"/>
        <w:numPr>
          <w:ilvl w:val="0"/>
          <w:numId w:val="1"/>
        </w:numPr>
        <w:spacing w:after="80"/>
      </w:pPr>
      <w:r>
        <w:rPr>
          <w:sz w:val="21"/>
          <w:szCs w:val="21"/>
        </w:rPr>
        <w:t xml:space="preserve">De deelnemer beheerst de taal waarin de opleiding en examinering plaatsvinden;</w:t>
      </w:r>
    </w:p>
    <w:p>
      <w:pPr>
        <w:pStyle w:val="ListParagraph"/>
        <w:numPr>
          <w:ilvl w:val="0"/>
          <w:numId w:val="1"/>
        </w:numPr>
        <w:spacing w:after="80"/>
      </w:pPr>
      <w:r>
        <w:rPr>
          <w:sz w:val="21"/>
          <w:szCs w:val="21"/>
        </w:rPr>
        <w:t xml:space="preserve">De deelnemer beschikt minimaal over een rijbewijs B, T of C.</w:t>
      </w:r>
    </w:p>
    <w:p>
      <w:pPr>
        <w:pStyle w:val="Heading2"/>
        <w:spacing w:after="120" w:before="240"/>
      </w:pPr>
      <w:r>
        <w:rPr>
          <w:b/>
          <w:bCs/>
          <w:color w:val="17705F"/>
          <w:sz w:val="24"/>
          <w:szCs w:val="24"/>
        </w:rPr>
        <w:t xml:space="preserve">3.2 Examinering theorie</w:t>
      </w:r>
    </w:p>
    <w:p>
      <w:pPr>
        <w:pStyle w:val="ListParagraph"/>
        <w:numPr>
          <w:ilvl w:val="0"/>
          <w:numId w:val="1"/>
        </w:numPr>
        <w:spacing w:after="80"/>
      </w:pPr>
      <w:r>
        <w:rPr>
          <w:sz w:val="21"/>
          <w:szCs w:val="21"/>
        </w:rPr>
        <w:t xml:space="preserve">Het theorie-examen duurt 30 minuten;</w:t>
      </w:r>
    </w:p>
    <w:p>
      <w:pPr>
        <w:pStyle w:val="ListParagraph"/>
        <w:numPr>
          <w:ilvl w:val="0"/>
          <w:numId w:val="1"/>
        </w:numPr>
        <w:spacing w:after="80"/>
      </w:pPr>
      <w:r>
        <w:rPr>
          <w:sz w:val="21"/>
          <w:szCs w:val="21"/>
        </w:rPr>
        <w:t xml:space="preserve">Het examen bestaat uit 18 vragen (punten), waarvan minimaal 13 punten behaald moeten worden voor een voldoende;</w:t>
      </w:r>
    </w:p>
    <w:p>
      <w:pPr>
        <w:pStyle w:val="ListParagraph"/>
        <w:numPr>
          <w:ilvl w:val="0"/>
          <w:numId w:val="1"/>
        </w:numPr>
        <w:spacing w:after="80"/>
      </w:pPr>
      <w:r>
        <w:rPr>
          <w:sz w:val="21"/>
          <w:szCs w:val="21"/>
        </w:rPr>
        <w:t xml:space="preserve">Onderwerpen: algemeen (basisbegrippen), wetgeving (Arbowet), veiligheid (veiligheidsvoorschriften en verkeersregels) en vaktechniek (lastdiagram, belasting en stabiliteit).</w:t>
      </w:r>
    </w:p>
    <w:p>
      <w:pPr>
        <w:pStyle w:val="Heading2"/>
        <w:spacing w:after="120" w:before="240"/>
      </w:pPr>
      <w:r>
        <w:rPr>
          <w:b/>
          <w:bCs/>
          <w:color w:val="17705F"/>
          <w:sz w:val="24"/>
          <w:szCs w:val="24"/>
        </w:rPr>
        <w:t xml:space="preserve">3.3 Examinering praktijk</w:t>
      </w:r>
    </w:p>
    <w:p>
      <w:pPr>
        <w:pStyle w:val="ListParagraph"/>
        <w:numPr>
          <w:ilvl w:val="0"/>
          <w:numId w:val="1"/>
        </w:numPr>
        <w:spacing w:after="80"/>
      </w:pPr>
      <w:r>
        <w:rPr>
          <w:sz w:val="21"/>
          <w:szCs w:val="21"/>
        </w:rPr>
        <w:t xml:space="preserve">Het praktijkexamen wordt afgenomen aan de hand van de praktijkopdrachten conform het uitvoeringsvoorschrift examinering (SSVV);</w:t>
      </w:r>
    </w:p>
    <w:p>
      <w:pPr>
        <w:pStyle w:val="ListParagraph"/>
        <w:numPr>
          <w:ilvl w:val="0"/>
          <w:numId w:val="1"/>
        </w:numPr>
        <w:spacing w:after="80"/>
      </w:pPr>
      <w:r>
        <w:rPr>
          <w:sz w:val="21"/>
          <w:szCs w:val="21"/>
        </w:rPr>
        <w:t xml:space="preserve">Bij een voldoende resultaat voor zowel het theorie-examen als het praktijkexamen ontvangt de kandidaat het diploma.</w:t>
      </w:r>
    </w:p>
    <w:p>
      <w:pPr>
        <w:pStyle w:val="Heading2"/>
        <w:spacing w:after="120" w:before="240"/>
      </w:pPr>
      <w:r>
        <w:rPr>
          <w:b/>
          <w:bCs/>
          <w:color w:val="17705F"/>
          <w:sz w:val="24"/>
          <w:szCs w:val="24"/>
        </w:rPr>
        <w:t xml:space="preserve">3.4 Herkansing</w:t>
      </w:r>
    </w:p>
    <w:p>
      <w:pPr>
        <w:spacing w:after="160"/>
      </w:pPr>
      <w:r>
        <w:rPr>
          <w:sz w:val="21"/>
          <w:szCs w:val="21"/>
        </w:rPr>
        <w:t xml:space="preserve">Als een kandidaat niet is geslaagd, mag hij/zij de onvoldoende onderdelen herkansen:</w:t>
      </w:r>
    </w:p>
    <w:p>
      <w:pPr>
        <w:pStyle w:val="ListParagraph"/>
        <w:numPr>
          <w:ilvl w:val="0"/>
          <w:numId w:val="1"/>
        </w:numPr>
        <w:spacing w:after="80"/>
      </w:pPr>
      <w:r>
        <w:rPr>
          <w:sz w:val="21"/>
          <w:szCs w:val="21"/>
        </w:rPr>
        <w:t xml:space="preserve">Is de kandidaat voor een onderdeel geslaagd, dan blijft het resultaat van dat onderdeel zes maanden geldig;</w:t>
      </w:r>
    </w:p>
    <w:p>
      <w:pPr>
        <w:pStyle w:val="ListParagraph"/>
        <w:numPr>
          <w:ilvl w:val="0"/>
          <w:numId w:val="1"/>
        </w:numPr>
        <w:spacing w:after="80"/>
      </w:pPr>
      <w:r>
        <w:rPr>
          <w:sz w:val="21"/>
          <w:szCs w:val="21"/>
        </w:rPr>
        <w:t xml:space="preserve">De kandidaat kan het andere onderdeel binnen deze zes maanden herkansen;</w:t>
      </w:r>
    </w:p>
    <w:p>
      <w:pPr>
        <w:pStyle w:val="ListParagraph"/>
        <w:numPr>
          <w:ilvl w:val="0"/>
          <w:numId w:val="1"/>
        </w:numPr>
        <w:spacing w:after="80"/>
      </w:pPr>
      <w:r>
        <w:rPr>
          <w:sz w:val="21"/>
          <w:szCs w:val="21"/>
        </w:rPr>
        <w:t xml:space="preserve">Na zes maanden moet de kandidaat de opleiding opnieuw volgen en de beide examens opnieuw afleggen bij hetzelfde of een ander opleidingscentrum en/of examencentrum.</w:t>
      </w:r>
    </w:p>
    <w:p>
      <w:pPr>
        <w:pStyle w:val="Heading2"/>
        <w:spacing w:after="120" w:before="240"/>
      </w:pPr>
      <w:r>
        <w:rPr>
          <w:b/>
          <w:bCs/>
          <w:color w:val="17705F"/>
          <w:sz w:val="24"/>
          <w:szCs w:val="24"/>
        </w:rPr>
        <w:t xml:space="preserve">3.5 Geldigheid van de SOG-P-kwalificatie Werken met een Vorkheftruck</w:t>
      </w:r>
    </w:p>
    <w:p>
      <w:pPr>
        <w:spacing w:after="160"/>
      </w:pPr>
      <w:r>
        <w:rPr>
          <w:sz w:val="21"/>
          <w:szCs w:val="21"/>
        </w:rPr>
        <w:t xml:space="preserve">De geldigheid van deze SOG-P-kwalificatie bedraagt 5 jaar.</w:t>
      </w:r>
    </w:p>
    <w:p>
      <w:r>
        <w:br w:type="page"/>
      </w:r>
    </w:p>
    <w:p>
      <w:pPr>
        <w:pStyle w:val="Heading1"/>
        <w:spacing w:after="200" w:before="300"/>
      </w:pPr>
      <w:r>
        <w:rPr>
          <w:b/>
          <w:bCs/>
          <w:color w:val="17705F"/>
          <w:sz w:val="30"/>
          <w:szCs w:val="30"/>
        </w:rPr>
        <w:t xml:space="preserve">Deel 4  Kosten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Borders>
              <w:top w:val="single" w:color="AAAAAA" w:sz="2"/>
              <w:left w:val="single" w:color="AAAAAA" w:sz="2"/>
              <w:bottom w:val="single" w:color="AAAAAA" w:sz="2"/>
              <w:right w:val="single" w:color="AAAAAA" w:sz="2"/>
            </w:tcBorders>
            <w:tcMar>
              <w:top w:type="dxa" w:w="80"/>
              <w:left w:type="dxa" w:w="120"/>
              <w:bottom w:type="dxa" w:w="80"/>
              <w:right w:type="dxa" w:w="120"/>
            </w:tcMar>
          </w:tcPr>
          <w:p>
            <w:r>
              <w:rPr>
                <w:sz w:val="20"/>
                <w:szCs w:val="20"/>
              </w:rPr>
              <w:t xml:space="preserve">Cursuskosten</w:t>
            </w:r>
          </w:p>
        </w:tc>
        <w:tc>
          <w:tcPr>
            <w:tcW w:type="pct" w:w="65%"/>
            <w:tcBorders>
              <w:top w:val="single" w:color="AAAAAA" w:sz="2"/>
              <w:left w:val="single" w:color="AAAAAA" w:sz="2"/>
              <w:bottom w:val="single" w:color="AAAAAA" w:sz="2"/>
              <w:right w:val="single" w:color="AAAAAA" w:sz="2"/>
            </w:tcBorders>
            <w:tcMar>
              <w:top w:type="dxa" w:w="80"/>
              <w:left w:type="dxa" w:w="120"/>
              <w:bottom w:type="dxa" w:w="80"/>
              <w:right w:type="dxa" w:w="120"/>
            </w:tcMar>
          </w:tcPr>
          <w:p>
            <w:r>
              <w:rPr>
                <w:sz w:val="20"/>
                <w:szCs w:val="20"/>
              </w:rPr>
              <w:t xml:space="preserve">€ 273,35 p.p.</w:t>
            </w:r>
          </w:p>
        </w:tc>
      </w:tr>
      <w:tr>
        <w:tc>
          <w:tcPr>
            <w:tcW w:type="pct" w:w="35%"/>
            <w:tcBorders>
              <w:top w:val="single" w:color="AAAAAA" w:sz="2"/>
              <w:left w:val="single" w:color="AAAAAA" w:sz="2"/>
              <w:bottom w:val="single" w:color="AAAAAA" w:sz="2"/>
              <w:right w:val="single" w:color="AAAAAA" w:sz="2"/>
            </w:tcBorders>
            <w:tcMar>
              <w:top w:type="dxa" w:w="80"/>
              <w:left w:type="dxa" w:w="120"/>
              <w:bottom w:type="dxa" w:w="80"/>
              <w:right w:type="dxa" w:w="120"/>
            </w:tcMar>
          </w:tcPr>
          <w:p>
            <w:r>
              <w:rPr>
                <w:sz w:val="20"/>
                <w:szCs w:val="20"/>
              </w:rPr>
              <w:t xml:space="preserve">Examenkosten</w:t>
            </w:r>
          </w:p>
        </w:tc>
        <w:tc>
          <w:tcPr>
            <w:tcW w:type="pct" w:w="65%"/>
            <w:tcBorders>
              <w:top w:val="single" w:color="AAAAAA" w:sz="2"/>
              <w:left w:val="single" w:color="AAAAAA" w:sz="2"/>
              <w:bottom w:val="single" w:color="AAAAAA" w:sz="2"/>
              <w:right w:val="single" w:color="AAAAAA" w:sz="2"/>
            </w:tcBorders>
            <w:tcMar>
              <w:top w:type="dxa" w:w="80"/>
              <w:left w:type="dxa" w:w="120"/>
              <w:bottom w:type="dxa" w:w="80"/>
              <w:right w:type="dxa" w:w="120"/>
            </w:tcMar>
          </w:tcPr>
          <w:p>
            <w:r>
              <w:rPr>
                <w:sz w:val="20"/>
                <w:szCs w:val="20"/>
              </w:rPr>
              <w:t xml:space="preserve">€ 81,00 p.p.</w:t>
            </w:r>
          </w:p>
        </w:tc>
      </w:tr>
      <w:tr>
        <w:tc>
          <w:tcPr>
            <w:tcW w:type="pct" w:w="35%"/>
            <w:tcBorders>
              <w:top w:val="single" w:color="AAAAAA" w:sz="2"/>
              <w:left w:val="single" w:color="AAAAAA" w:sz="2"/>
              <w:bottom w:val="single" w:color="AAAAAA" w:sz="2"/>
              <w:right w:val="single" w:color="AAAAAA" w:sz="2"/>
            </w:tcBorders>
            <w:tcMar>
              <w:top w:type="dxa" w:w="80"/>
              <w:left w:type="dxa" w:w="120"/>
              <w:bottom w:type="dxa" w:w="80"/>
              <w:right w:type="dxa" w:w="120"/>
            </w:tcMar>
          </w:tcPr>
          <w:p>
            <w:r>
              <w:rPr>
                <w:sz w:val="20"/>
                <w:szCs w:val="20"/>
              </w:rPr>
              <w:t xml:space="preserve">Certificering</w:t>
            </w:r>
          </w:p>
        </w:tc>
        <w:tc>
          <w:tcPr>
            <w:tcW w:type="pct" w:w="65%"/>
            <w:tcBorders>
              <w:top w:val="single" w:color="AAAAAA" w:sz="2"/>
              <w:left w:val="single" w:color="AAAAAA" w:sz="2"/>
              <w:bottom w:val="single" w:color="AAAAAA" w:sz="2"/>
              <w:right w:val="single" w:color="AAAAAA" w:sz="2"/>
            </w:tcBorders>
            <w:tcMar>
              <w:top w:type="dxa" w:w="80"/>
              <w:left w:type="dxa" w:w="120"/>
              <w:bottom w:type="dxa" w:w="80"/>
              <w:right w:type="dxa" w:w="120"/>
            </w:tcMar>
          </w:tcPr>
          <w:p>
            <w:r>
              <w:rPr>
                <w:sz w:val="20"/>
                <w:szCs w:val="20"/>
              </w:rPr>
              <w:t xml:space="preserve">VCA / SOG</w:t>
            </w:r>
          </w:p>
        </w:tc>
      </w:tr>
      <w:tr>
        <w:tc>
          <w:tcPr>
            <w:tcW w:type="pct" w:w="35%"/>
            <w:tcBorders>
              <w:top w:val="single" w:color="AAAAAA" w:sz="2"/>
              <w:left w:val="single" w:color="AAAAAA" w:sz="2"/>
              <w:bottom w:val="single" w:color="AAAAAA" w:sz="2"/>
              <w:right w:val="single" w:color="AAAAAA" w:sz="2"/>
            </w:tcBorders>
            <w:tcMar>
              <w:top w:type="dxa" w:w="80"/>
              <w:left w:type="dxa" w:w="120"/>
              <w:bottom w:type="dxa" w:w="80"/>
              <w:right w:type="dxa" w:w="120"/>
            </w:tcMar>
          </w:tcPr>
          <w:p>
            <w:r>
              <w:rPr>
                <w:sz w:val="20"/>
                <w:szCs w:val="20"/>
              </w:rPr>
              <w:t xml:space="preserve">Geldigheid</w:t>
            </w:r>
          </w:p>
        </w:tc>
        <w:tc>
          <w:tcPr>
            <w:tcW w:type="pct" w:w="65%"/>
            <w:tcBorders>
              <w:top w:val="single" w:color="AAAAAA" w:sz="2"/>
              <w:left w:val="single" w:color="AAAAAA" w:sz="2"/>
              <w:bottom w:val="single" w:color="AAAAAA" w:sz="2"/>
              <w:right w:val="single" w:color="AAAAAA" w:sz="2"/>
            </w:tcBorders>
            <w:tcMar>
              <w:top w:type="dxa" w:w="80"/>
              <w:left w:type="dxa" w:w="120"/>
              <w:bottom w:type="dxa" w:w="80"/>
              <w:right w:type="dxa" w:w="120"/>
            </w:tcMar>
          </w:tcPr>
          <w:p>
            <w:r>
              <w:rPr>
                <w:sz w:val="20"/>
                <w:szCs w:val="20"/>
              </w:rPr>
              <w:t xml:space="preserve">5 jaar</w:t>
            </w:r>
          </w:p>
        </w:tc>
      </w:tr>
      <w:tr>
        <w:tc>
          <w:tcPr>
            <w:tcW w:type="pct" w:w="35%"/>
            <w:tcBorders>
              <w:top w:val="single" w:color="AAAAAA" w:sz="2"/>
              <w:left w:val="single" w:color="AAAAAA" w:sz="2"/>
              <w:bottom w:val="single" w:color="AAAAAA" w:sz="2"/>
              <w:right w:val="single" w:color="AAAAAA" w:sz="2"/>
            </w:tcBorders>
            <w:tcMar>
              <w:top w:type="dxa" w:w="80"/>
              <w:left w:type="dxa" w:w="120"/>
              <w:bottom w:type="dxa" w:w="80"/>
              <w:right w:type="dxa" w:w="120"/>
            </w:tcMar>
          </w:tcPr>
          <w:p>
            <w:r>
              <w:rPr>
                <w:sz w:val="20"/>
                <w:szCs w:val="20"/>
              </w:rPr>
              <w:t xml:space="preserve">Cursusduur</w:t>
            </w:r>
          </w:p>
        </w:tc>
        <w:tc>
          <w:tcPr>
            <w:tcW w:type="pct" w:w="65%"/>
            <w:tcBorders>
              <w:top w:val="single" w:color="AAAAAA" w:sz="2"/>
              <w:left w:val="single" w:color="AAAAAA" w:sz="2"/>
              <w:bottom w:val="single" w:color="AAAAAA" w:sz="2"/>
              <w:right w:val="single" w:color="AAAAAA" w:sz="2"/>
            </w:tcBorders>
            <w:tcMar>
              <w:top w:type="dxa" w:w="80"/>
              <w:left w:type="dxa" w:w="120"/>
              <w:bottom w:type="dxa" w:w="80"/>
              <w:right w:type="dxa" w:w="120"/>
            </w:tcMar>
          </w:tcPr>
          <w:p>
            <w:r>
              <w:rPr>
                <w:sz w:val="20"/>
                <w:szCs w:val="20"/>
              </w:rPr>
              <w:t xml:space="preserve">1 dag</w:t>
            </w:r>
          </w:p>
        </w:tc>
      </w:tr>
    </w:tbl>
    <w:p/>
    <w:p>
      <w:pPr>
        <w:spacing w:after="160"/>
      </w:pPr>
      <w:r>
        <w:rPr>
          <w:color w:val="555555"/>
          <w:sz w:val="18"/>
          <w:szCs w:val="18"/>
        </w:rPr>
        <w:t xml:space="preserve">Kosten zijn inclusief lesmateriaal en lunch. Examenkosten worden separaat doorbelast. Prijzen zijn exclusief btw.</w:t>
      </w:r>
    </w:p>
    <w:sectPr>
      <w:headerReference w:type="default" r:id="rId7"/>
      <w:footerReference w:type="default" r:id="rId8"/>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AAAAAA" w:sz="4" w:space="4"/>
      </w:pBdr>
    </w:pPr>
    <w:r>
      <w:rPr>
        <w:color w:val="666666"/>
        <w:sz w:val="15"/>
        <w:szCs w:val="15"/>
      </w:rPr>
      <w:t xml:space="preserve">WERKEN MET EEN VORKHEFTRUCK FINALE VERSIE 1.0</w:t>
    </w:r>
  </w:p>
  <w:p>
    <w:pPr>
      <w:jc w:val="right"/>
    </w:pPr>
    <w:r>
      <w:rPr>
        <w:color w:val="666666"/>
        <w:sz w:val="15"/>
        <w:szCs w:val="15"/>
      </w:rPr>
      <w:t xml:space="preserve">Pagina </w:t>
    </w:r>
    <w:r>
      <w:rPr>
        <w:color w:val="666666"/>
        <w:sz w:val="15"/>
        <w:szCs w:val="15"/>
      </w:rPr>
      <w:fldChar w:fldCharType="begin"/>
      <w:instrText xml:space="preserve">PAGE</w:instrText>
      <w:fldChar w:fldCharType="separate"/>
      <w:fldChar w:fldCharType="end"/>
    </w:r>
    <w:r>
      <w:rPr>
        <w:color w:val="666666"/>
        <w:sz w:val="15"/>
        <w:szCs w:val="15"/>
      </w:rPr>
      <w:t xml:space="preserve"> van </w:t>
    </w:r>
    <w:r>
      <w:rPr>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left w:val="none"/>
        <w:bottom w:val="none"/>
        <w:right w:val="none"/>
        <w:insideH w:val="none"/>
        <w:insideV w:val="none"/>
      </w:tblBorders>
    </w:tblPr>
    <w:tblGrid>
      <w:gridCol w:w="100"/>
      <w:gridCol w:w="100"/>
    </w:tblGrid>
    <w:tr>
      <w:tc>
        <w:tcPr>
          <w:tcBorders>
            <w:top w:val="none"/>
            <w:left w:val="none"/>
            <w:bottom w:val="none"/>
            <w:right w:val="none"/>
          </w:tcBorders>
        </w:tcPr>
        <w:p>
          <w:r>
            <w:drawing>
              <wp:inline distT="0" distB="0" distL="0" distR="0">
                <wp:extent cx="1228725"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28725" cy="762000"/>
                        </a:xfrm>
                        <a:prstGeom prst="rect">
                          <a:avLst/>
                        </a:prstGeom>
                      </pic:spPr>
                    </pic:pic>
                  </a:graphicData>
                </a:graphic>
              </wp:inline>
            </w:drawing>
          </w:r>
        </w:p>
      </w:tc>
      <w:tc>
        <w:tcPr>
          <w:tcBorders>
            <w:top w:val="none"/>
            <w:left w:val="none"/>
            <w:bottom w:val="none"/>
            <w:right w:val="none"/>
          </w:tcBorders>
        </w:tcPr>
        <w:p>
          <w:pPr>
            <w:jc w:val="right"/>
          </w:pPr>
          <w:r>
            <w:drawing>
              <wp:inline distT="0" distB="0" distL="0" distR="0">
                <wp:extent cx="10287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28700" cy="762000"/>
                        </a:xfrm>
                        <a:prstGeom prst="rect">
                          <a:avLst/>
                        </a:prstGeom>
                      </pic:spPr>
                    </pic:pic>
                  </a:graphicData>
                </a:graphic>
              </wp:inline>
            </w:drawing>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0" Type="http://schemas.openxmlformats.org/officeDocument/2006/relationships/image" Target="media/1b4f0045fff995dc629ef510cf4d6ac3202155f4.png"/><Relationship Id="rId1" Type="http://schemas.openxmlformats.org/officeDocument/2006/relationships/image" Target="media/90cb83d9c4304d93bc8b96ca381f54d931ad78e5.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2026-10-02T08:16:39.759Z</dcterms:created>
  <dcterms:modified xsi:type="dcterms:W3CDTF">2026-10-02T08:16:39.759Z</dcterms:modified>
</cp:coreProperties>
</file>

<file path=docProps/custom.xml><?xml version="1.0" encoding="utf-8"?>
<Properties xmlns="http://schemas.openxmlformats.org/officeDocument/2006/custom-properties" xmlns:vt="http://schemas.openxmlformats.org/officeDocument/2006/docPropsVTypes"/>
</file>